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21"/>
        </w:rPr>
      </w:pPr>
    </w:p>
    <w:p>
      <w:pPr>
        <w:jc w:val="center"/>
        <w:rPr>
          <w:sz w:val="32"/>
          <w:szCs w:val="21"/>
        </w:rPr>
      </w:pPr>
      <w:r>
        <w:rPr>
          <w:rFonts w:hint="eastAsia"/>
          <w:sz w:val="32"/>
          <w:szCs w:val="21"/>
        </w:rPr>
        <w:t>杭州市实业投资集团有限公司发行</w:t>
      </w:r>
      <w:r>
        <w:rPr>
          <w:rFonts w:hint="eastAsia"/>
          <w:sz w:val="32"/>
          <w:szCs w:val="21"/>
          <w:lang w:val="en-US" w:eastAsia="zh-CN"/>
        </w:rPr>
        <w:t>可续期公司债券</w:t>
      </w:r>
      <w:r>
        <w:rPr>
          <w:rFonts w:hint="eastAsia"/>
          <w:sz w:val="32"/>
          <w:szCs w:val="21"/>
        </w:rPr>
        <w:t>主承销商选聘项目中标</w:t>
      </w:r>
      <w:r>
        <w:rPr>
          <w:rFonts w:hint="eastAsia"/>
          <w:sz w:val="32"/>
          <w:szCs w:val="21"/>
          <w:lang w:val="en-US" w:eastAsia="zh-CN"/>
        </w:rPr>
        <w:t>候选人</w:t>
      </w:r>
      <w:r>
        <w:rPr>
          <w:rFonts w:hint="eastAsia"/>
          <w:sz w:val="32"/>
          <w:szCs w:val="21"/>
        </w:rPr>
        <w:t>公示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项目编号：</w:t>
      </w:r>
      <w:r>
        <w:rPr>
          <w:rFonts w:hint="eastAsia"/>
          <w:sz w:val="28"/>
          <w:lang w:eastAsia="zh-CN"/>
        </w:rPr>
        <w:t>KJZB-HS-2024006</w:t>
      </w:r>
      <w:r>
        <w:rPr>
          <w:rFonts w:hint="eastAsia"/>
          <w:sz w:val="28"/>
        </w:rPr>
        <w:t xml:space="preserve"> </w:t>
      </w:r>
    </w:p>
    <w:tbl>
      <w:tblPr>
        <w:tblStyle w:val="5"/>
        <w:tblW w:w="7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544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1"/>
              </w:rPr>
              <w:t>排名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1"/>
              </w:rPr>
              <w:t>拟中标候选人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1"/>
              </w:rPr>
              <w:t>年承销费率（%）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1"/>
              </w:rPr>
              <w:t>华泰联合证券有限责任公司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1"/>
              </w:rPr>
              <w:t>国泰君安证券股份有限公司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0.02</w:t>
            </w:r>
          </w:p>
        </w:tc>
      </w:tr>
    </w:tbl>
    <w:p>
      <w:pPr>
        <w:spacing w:line="400" w:lineRule="exact"/>
        <w:ind w:firstLine="420"/>
        <w:rPr>
          <w:rFonts w:ascii="宋体" w:hAnsi="宋体" w:eastAsia="宋体" w:cs="宋体"/>
          <w:bCs/>
          <w:color w:val="000000"/>
          <w:kern w:val="0"/>
          <w:sz w:val="24"/>
          <w:szCs w:val="20"/>
        </w:rPr>
      </w:pPr>
    </w:p>
    <w:p>
      <w:pPr>
        <w:spacing w:line="400" w:lineRule="exact"/>
        <w:ind w:firstLine="420"/>
        <w:rPr>
          <w:rFonts w:ascii="宋体" w:hAnsi="宋体" w:eastAsia="宋体" w:cs="宋体"/>
          <w:bCs/>
          <w:color w:val="000000"/>
          <w:kern w:val="0"/>
          <w:sz w:val="24"/>
          <w:szCs w:val="20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本项目公示期自发布之日起3天，公式期间相关单位如有疑义，请在公示期内以</w:t>
      </w:r>
      <w:r>
        <w:rPr>
          <w:rFonts w:ascii="宋体" w:hAnsi="宋体" w:eastAsia="宋体" w:cs="宋体"/>
          <w:bCs/>
          <w:color w:val="000000"/>
          <w:kern w:val="0"/>
          <w:sz w:val="24"/>
          <w:szCs w:val="20"/>
        </w:rPr>
        <w:t>书面形式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向招标人或招标代理机构提出。公示结束后招标人将确定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  <w:lang w:val="en-US" w:eastAsia="zh-CN"/>
        </w:rPr>
        <w:t>上述2家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中标候选人为中标人。</w:t>
      </w:r>
    </w:p>
    <w:p>
      <w:pPr>
        <w:spacing w:line="400" w:lineRule="exact"/>
        <w:ind w:firstLine="420"/>
        <w:rPr>
          <w:rFonts w:ascii="宋体" w:hAnsi="宋体" w:eastAsia="宋体" w:cs="宋体"/>
          <w:bCs/>
          <w:color w:val="000000"/>
          <w:kern w:val="0"/>
          <w:sz w:val="24"/>
          <w:szCs w:val="20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联系方式</w:t>
      </w:r>
      <w:r>
        <w:rPr>
          <w:rFonts w:ascii="宋体" w:hAnsi="宋体" w:eastAsia="宋体" w:cs="宋体"/>
          <w:bCs/>
          <w:color w:val="000000"/>
          <w:kern w:val="0"/>
          <w:sz w:val="24"/>
          <w:szCs w:val="20"/>
        </w:rPr>
        <w:t>如下：</w:t>
      </w:r>
    </w:p>
    <w:p>
      <w:pPr>
        <w:spacing w:line="400" w:lineRule="exact"/>
        <w:jc w:val="left"/>
        <w:rPr>
          <w:rFonts w:ascii="宋体" w:hAnsi="宋体" w:eastAsia="宋体" w:cs="宋体"/>
          <w:bCs/>
          <w:color w:val="000000"/>
          <w:kern w:val="0"/>
          <w:sz w:val="24"/>
          <w:szCs w:val="20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招标人：杭州市实业投资集团有限公司</w:t>
      </w:r>
    </w:p>
    <w:p>
      <w:pPr>
        <w:spacing w:line="400" w:lineRule="exact"/>
        <w:jc w:val="left"/>
        <w:rPr>
          <w:rFonts w:ascii="宋体" w:hAnsi="宋体" w:eastAsia="宋体" w:cs="宋体"/>
          <w:bCs/>
          <w:color w:val="000000"/>
          <w:kern w:val="0"/>
          <w:sz w:val="24"/>
          <w:szCs w:val="20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地点</w:t>
      </w:r>
      <w:r>
        <w:rPr>
          <w:rFonts w:ascii="宋体" w:hAnsi="宋体" w:eastAsia="宋体" w:cs="宋体"/>
          <w:bCs/>
          <w:color w:val="000000"/>
          <w:kern w:val="0"/>
          <w:sz w:val="24"/>
          <w:szCs w:val="20"/>
        </w:rPr>
        <w:t>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杭州市西湖区宝石山下四弄19号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联系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  <w:lang w:val="en-US" w:eastAsia="zh-CN"/>
        </w:rPr>
        <w:t>人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 xml:space="preserve">：吴俊珺  </w:t>
      </w:r>
    </w:p>
    <w:p>
      <w:pPr>
        <w:spacing w:line="400" w:lineRule="exact"/>
        <w:jc w:val="left"/>
        <w:rPr>
          <w:rFonts w:ascii="宋体" w:hAnsi="宋体" w:eastAsia="宋体" w:cs="宋体"/>
          <w:bCs/>
          <w:color w:val="000000"/>
          <w:kern w:val="0"/>
          <w:sz w:val="24"/>
          <w:szCs w:val="20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  <w:lang w:val="en-US" w:eastAsia="zh-CN"/>
        </w:rPr>
        <w:t>联系电话：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18958184366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</w:pPr>
    </w:p>
    <w:p>
      <w:pPr>
        <w:spacing w:line="400" w:lineRule="exact"/>
        <w:jc w:val="left"/>
        <w:rPr>
          <w:rFonts w:ascii="宋体" w:hAnsi="宋体" w:eastAsia="宋体" w:cs="宋体"/>
          <w:bCs/>
          <w:color w:val="000000"/>
          <w:kern w:val="0"/>
          <w:sz w:val="24"/>
          <w:szCs w:val="20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招标代理机构：浙江科佳工程咨询有限公司</w:t>
      </w:r>
    </w:p>
    <w:p>
      <w:pPr>
        <w:spacing w:line="400" w:lineRule="exact"/>
        <w:jc w:val="left"/>
        <w:rPr>
          <w:rFonts w:ascii="宋体" w:hAnsi="宋体" w:eastAsia="宋体" w:cs="宋体"/>
          <w:bCs/>
          <w:color w:val="000000"/>
          <w:kern w:val="0"/>
          <w:sz w:val="24"/>
          <w:szCs w:val="20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地点</w:t>
      </w:r>
      <w:r>
        <w:rPr>
          <w:rFonts w:ascii="宋体" w:hAnsi="宋体" w:eastAsia="宋体" w:cs="宋体"/>
          <w:bCs/>
          <w:color w:val="000000"/>
          <w:kern w:val="0"/>
          <w:sz w:val="24"/>
          <w:szCs w:val="20"/>
        </w:rPr>
        <w:t>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 xml:space="preserve">杭州市上城区凤起东路462号顺福商务中心3号楼10层（事业六部） 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联系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  <w:lang w:val="en-US" w:eastAsia="zh-CN"/>
        </w:rPr>
        <w:t>人</w:t>
      </w:r>
      <w:r>
        <w:rPr>
          <w:rFonts w:ascii="宋体" w:hAnsi="宋体" w:eastAsia="宋体" w:cs="宋体"/>
          <w:bCs/>
          <w:color w:val="000000"/>
          <w:kern w:val="0"/>
          <w:sz w:val="24"/>
          <w:szCs w:val="20"/>
        </w:rPr>
        <w:t>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 xml:space="preserve">王炜 </w:t>
      </w:r>
    </w:p>
    <w:p>
      <w:pPr>
        <w:spacing w:line="400" w:lineRule="exact"/>
        <w:jc w:val="left"/>
        <w:rPr>
          <w:rFonts w:ascii="宋体" w:hAnsi="宋体" w:eastAsia="宋体" w:cs="宋体"/>
          <w:bCs/>
          <w:color w:val="000000"/>
          <w:kern w:val="0"/>
          <w:sz w:val="24"/>
          <w:szCs w:val="20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  <w:lang w:val="en-US" w:eastAsia="zh-CN"/>
        </w:rPr>
        <w:t>联系电话：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17091649344</w:t>
      </w:r>
    </w:p>
    <w:p>
      <w:pPr>
        <w:spacing w:line="400" w:lineRule="exact"/>
        <w:jc w:val="right"/>
        <w:rPr>
          <w:rFonts w:ascii="宋体" w:hAnsi="宋体" w:eastAsia="宋体" w:cs="宋体"/>
          <w:bCs/>
          <w:color w:val="000000"/>
          <w:kern w:val="0"/>
          <w:sz w:val="24"/>
          <w:szCs w:val="20"/>
        </w:rPr>
      </w:pPr>
    </w:p>
    <w:p>
      <w:pPr>
        <w:wordWrap w:val="0"/>
        <w:spacing w:line="400" w:lineRule="exact"/>
        <w:jc w:val="right"/>
        <w:rPr>
          <w:rFonts w:ascii="宋体" w:hAnsi="宋体" w:eastAsia="宋体" w:cs="宋体"/>
          <w:bCs/>
          <w:color w:val="000000"/>
          <w:kern w:val="0"/>
          <w:sz w:val="24"/>
          <w:szCs w:val="20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 xml:space="preserve"> </w:t>
      </w:r>
    </w:p>
    <w:p>
      <w:pPr>
        <w:spacing w:line="400" w:lineRule="exact"/>
        <w:jc w:val="right"/>
        <w:rPr>
          <w:rFonts w:ascii="宋体" w:hAnsi="宋体" w:eastAsia="宋体" w:cs="宋体"/>
          <w:b/>
          <w:bCs/>
          <w:color w:val="000000"/>
          <w:kern w:val="0"/>
          <w:sz w:val="24"/>
          <w:szCs w:val="20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202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年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月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  <w:lang w:val="en-US" w:eastAsia="zh-CN"/>
        </w:rPr>
        <w:t>19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日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0"/>
        </w:rPr>
      </w:pPr>
    </w:p>
    <w:p>
      <w:pPr>
        <w:jc w:val="center"/>
        <w:rPr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zMGVkY2Q2NWRkZDg1YjFkMDVlMmNhZGFkYzY2OWUifQ=="/>
  </w:docVars>
  <w:rsids>
    <w:rsidRoot w:val="00AD6D40"/>
    <w:rsid w:val="00191603"/>
    <w:rsid w:val="002C37DF"/>
    <w:rsid w:val="00332915"/>
    <w:rsid w:val="003A2C59"/>
    <w:rsid w:val="00440436"/>
    <w:rsid w:val="004D416E"/>
    <w:rsid w:val="00637D23"/>
    <w:rsid w:val="006A041E"/>
    <w:rsid w:val="006F49FB"/>
    <w:rsid w:val="007044B7"/>
    <w:rsid w:val="00705809"/>
    <w:rsid w:val="00714C42"/>
    <w:rsid w:val="007273D6"/>
    <w:rsid w:val="0081160B"/>
    <w:rsid w:val="008A1D53"/>
    <w:rsid w:val="00932C60"/>
    <w:rsid w:val="00945706"/>
    <w:rsid w:val="009741B3"/>
    <w:rsid w:val="009F5E34"/>
    <w:rsid w:val="00A97414"/>
    <w:rsid w:val="00AD6D40"/>
    <w:rsid w:val="00AE465E"/>
    <w:rsid w:val="00B23961"/>
    <w:rsid w:val="00B24087"/>
    <w:rsid w:val="00B8564F"/>
    <w:rsid w:val="00CE61A6"/>
    <w:rsid w:val="00D078EE"/>
    <w:rsid w:val="00E95822"/>
    <w:rsid w:val="00EA48BF"/>
    <w:rsid w:val="00ED65A7"/>
    <w:rsid w:val="00F4202E"/>
    <w:rsid w:val="00FC6CFB"/>
    <w:rsid w:val="154A7DC6"/>
    <w:rsid w:val="32371913"/>
    <w:rsid w:val="6EC3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220</Words>
  <Characters>259</Characters>
  <Lines>2</Lines>
  <Paragraphs>1</Paragraphs>
  <TotalTime>1</TotalTime>
  <ScaleCrop>false</ScaleCrop>
  <LinksUpToDate>false</LinksUpToDate>
  <CharactersWithSpaces>265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2018-04-25T02:53:00Z</dcterms:created>
  <dc:creator>china</dc:creator>
  <cp:lastModifiedBy>秦雪璠</cp:lastModifiedBy>
  <dcterms:modified xsi:type="dcterms:W3CDTF">2024-06-19T06:18:59Z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BAEC96A2001843498A19552CD8395208_12</vt:lpwstr>
  </property>
</Properties>
</file>